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bookmarkStart w:id="0" w:name="_Toc137554584"/>
      <w:bookmarkStart w:id="1" w:name="_Toc139856287"/>
      <w:bookmarkStart w:id="2" w:name="_Toc141696704"/>
      <w:bookmarkStart w:id="3" w:name="_Toc137554584"/>
      <w:bookmarkStart w:id="4" w:name="_Toc139856287"/>
      <w:bookmarkStart w:id="5" w:name="_Toc141696704"/>
      <w:bookmarkEnd w:id="3"/>
      <w:bookmarkEnd w:id="4"/>
      <w:bookmarkEnd w:id="5"/>
    </w:p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</w:t>
      </w:r>
      <w:bookmarkStart w:id="6" w:name="_GoBack"/>
      <w:bookmarkEnd w:id="6"/>
      <w:r>
        <w:rPr>
          <w:rFonts w:eastAsia="Calibri"/>
          <w:b/>
          <w:sz w:val="26"/>
          <w:szCs w:val="26"/>
        </w:rPr>
        <w:t>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Style38"/>
        <w:widowControl w:val="false"/>
        <w:spacing w:before="0" w:after="160"/>
        <w:jc w:val="center"/>
        <w:rPr>
          <w:sz w:val="26"/>
          <w:szCs w:val="26"/>
        </w:rPr>
      </w:pPr>
      <w:r>
        <w:rPr>
          <w:b/>
          <w:sz w:val="26"/>
          <w:szCs w:val="26"/>
        </w:rPr>
        <w:t>ОКПД2 25.21.12 Поставка основного оборудования (котлы) для СП «Амурские тепловые сети» г. Благовещенск».</w:t>
      </w:r>
    </w:p>
    <w:p>
      <w:pPr>
        <w:pStyle w:val="Normal"/>
        <w:keepNext w:val="true"/>
        <w:keepLines/>
        <w:jc w:val="center"/>
        <w:rPr>
          <w:i w:val="false"/>
          <w:i w:val="false"/>
          <w:iCs w:val="false"/>
          <w:sz w:val="26"/>
          <w:szCs w:val="26"/>
          <w:highlight w:val="none"/>
          <w:shd w:fill="auto" w:val="clear"/>
        </w:rPr>
      </w:pPr>
      <w:r>
        <w:rPr>
          <w:rFonts w:eastAsia="Calibri"/>
          <w:b/>
          <w:i w:val="false"/>
          <w:iCs w:val="false"/>
          <w:sz w:val="26"/>
          <w:szCs w:val="26"/>
          <w:shd w:fill="auto" w:val="clear"/>
        </w:rPr>
        <w:t>Лот № 42034002-ЭКСП ПРОД-2026-ДГК-АТС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7"/>
              <w:vanish w:val="false"/>
            </w:rPr>
            <w:instrText xml:space="preserve"> TOC \z \o "1-4" \u \h</w:instrText>
          </w:r>
          <w:r>
            <w:rPr>
              <w:webHidden/>
              <w:rStyle w:val="Style17"/>
              <w:vanish w:val="false"/>
            </w:rPr>
            <w:fldChar w:fldCharType="separate"/>
          </w:r>
          <w:hyperlink w:anchor="__RefHeading___Toc243226_1007150563">
            <w:r>
              <w:rPr>
                <w:webHidden/>
                <w:rStyle w:val="Style17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228_1007150563">
            <w:r>
              <w:rPr>
                <w:webHidden/>
                <w:rStyle w:val="Style17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230_1007150563">
            <w:r>
              <w:rPr>
                <w:webHidden/>
                <w:rStyle w:val="Style17"/>
                <w:vanish w:val="false"/>
              </w:rPr>
              <w:t>1.2. Наименование закупаемой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232_1007150563">
            <w:r>
              <w:rPr>
                <w:webHidden/>
                <w:rStyle w:val="Style17"/>
                <w:vanish w:val="false"/>
              </w:rPr>
              <w:t>1.3. Цель использования закупаемой продукции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234_1007150563">
            <w:r>
              <w:rPr>
                <w:webHidden/>
                <w:rStyle w:val="Style17"/>
                <w:vanish w:val="false"/>
              </w:rPr>
              <w:t xml:space="preserve">2. </w:t>
            </w:r>
            <w:r>
              <w:rPr>
                <w:rStyle w:val="Style17"/>
                <w:iCs/>
              </w:rPr>
              <w:t>Требования к продукции</w:t>
            </w:r>
            <w:r>
              <w:rPr>
                <w:rStyle w:val="Style17"/>
              </w:rPr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236_1007150563">
            <w:r>
              <w:rPr>
                <w:webHidden/>
                <w:rStyle w:val="Style17"/>
                <w:vanish w:val="false"/>
              </w:rPr>
              <w:t>2.1. Требования к объемам и срокам поставки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43238_1007150563">
            <w:r>
              <w:rPr>
                <w:webHidden/>
                <w:rStyle w:val="Style17"/>
                <w:vanish w:val="false"/>
              </w:rPr>
              <w:t>2.1.1. Перечень и объем закупаемой продукции</w:t>
              <w:tab/>
              <w:t>3</w:t>
            </w:r>
          </w:hyperlink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243242_1007150563">
            <w:r>
              <w:rPr>
                <w:webHidden/>
                <w:rStyle w:val="Style17"/>
                <w:vanish w:val="false"/>
              </w:rPr>
              <w:t>2.1.2. Требования к срокам поставки продукции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243246_1007150563">
            <w:r>
              <w:rPr>
                <w:webHidden/>
                <w:rStyle w:val="Style17"/>
                <w:vanish w:val="false"/>
              </w:rPr>
              <w:t>2.2. Требования к качеству продукции</w:t>
              <w:tab/>
              <w:t>5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250_1007150563">
            <w:r>
              <w:rPr>
                <w:webHidden/>
                <w:rStyle w:val="Style17"/>
                <w:vanish w:val="false"/>
              </w:rPr>
              <w:t>3. Требования к документации по ценообразованию на этапе закупки</w:t>
              <w:tab/>
              <w:t>12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252_1007150563">
            <w:r>
              <w:rPr>
                <w:webHidden/>
                <w:rStyle w:val="Style17"/>
                <w:i w:val="false"/>
                <w:iCs w:val="false"/>
                <w:vanish w:val="false"/>
              </w:rPr>
              <w:t xml:space="preserve">4. </w:t>
            </w:r>
            <w:r>
              <w:rPr>
                <w:rStyle w:val="Style17"/>
                <w:i w:val="false"/>
                <w:iCs w:val="false"/>
              </w:rPr>
              <w:t>Требования к победителю (по оценочному критерию «Отношение Участника закупки к изготовителю предлагаемой продукции»)</w:t>
            </w:r>
            <w:r>
              <w:rPr>
                <w:rStyle w:val="Style17"/>
              </w:rPr>
              <w:tab/>
              <w:t>12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243274_1007150563">
            <w:r>
              <w:rPr>
                <w:webHidden/>
                <w:rStyle w:val="Style17"/>
                <w:iCs/>
                <w:vanish w:val="false"/>
              </w:rPr>
              <w:t>5. Приложения</w:t>
            </w:r>
            <w:r>
              <w:rPr>
                <w:rStyle w:val="Style17"/>
              </w:rPr>
              <w:tab/>
              <w:t>12</w:t>
            </w:r>
          </w:hyperlink>
          <w:r>
            <w:rPr>
              <w:rStyle w:val="Style17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>
          <w:b w:val="false"/>
          <w:i/>
          <w:i/>
        </w:rPr>
      </w:pPr>
      <w:r>
        <w:rPr>
          <w:b w:val="false"/>
          <w:i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r>
        <w:rPr>
          <w:lang w:val="ru-RU"/>
        </w:rPr>
        <w:t>О</w:t>
      </w:r>
      <w:bookmarkStart w:id="7" w:name="_Toc51339692"/>
      <w:bookmarkStart w:id="8" w:name="_Toc149121365"/>
      <w:r>
        <w:rPr>
          <w:lang w:val="ru-RU"/>
        </w:rPr>
        <w:t>бщие сведения</w:t>
      </w:r>
      <w:bookmarkEnd w:id="7"/>
      <w:bookmarkEnd w:id="8"/>
    </w:p>
    <w:p>
      <w:pPr>
        <w:pStyle w:val="Heading4"/>
        <w:numPr>
          <w:ilvl w:val="1"/>
          <w:numId w:val="3"/>
        </w:numPr>
        <w:rPr>
          <w:rStyle w:val="Style8"/>
          <w:b/>
          <w:i w:val="false"/>
          <w:i w:val="false"/>
          <w:shd w:fill="auto" w:val="clear"/>
        </w:rPr>
      </w:pPr>
      <w:bookmarkStart w:id="9" w:name="_Toc46743505"/>
      <w:bookmarkStart w:id="10" w:name="_Toc149121366"/>
      <w:r>
        <w:rPr/>
        <w:t>Обозначения и сокращения</w:t>
      </w:r>
      <w:bookmarkEnd w:id="9"/>
      <w:bookmarkEnd w:id="10"/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</w:rPr>
            </w:pPr>
            <w:r>
              <w:rPr/>
              <w:t>ЗИП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highlight w:val="none"/>
              </w:rPr>
            </w:pPr>
            <w:r>
              <w:rPr/>
              <w:t>Комплект запасных частей и принадлежностей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fill="FFFFFF" w:val="clear"/>
              </w:rPr>
              <w:t>Эквивалент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и срокам эксплуатации.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11" w:name="_Toc149121367"/>
      <w:r>
        <w:rPr/>
        <w:t>Наименование закупаемой продукции</w:t>
      </w:r>
      <w:bookmarkEnd w:id="11"/>
    </w:p>
    <w:p>
      <w:pPr>
        <w:pStyle w:val="Style40"/>
        <w:shd w:val="clear" w:color="auto" w:fill="FFFFFF" w:themeFill="background1"/>
        <w:spacing w:lineRule="atLeast" w:line="283" w:before="0" w:after="120"/>
        <w:ind w:left="0" w:hanging="0"/>
        <w:rPr/>
      </w:pPr>
      <w:r>
        <w:rPr>
          <w:rStyle w:val="Style8"/>
          <w:rFonts w:eastAsia="Calibri" w:ascii="Times New Roman" w:hAnsi="Times New Roman"/>
          <w:b w:val="false"/>
          <w:bCs w:val="false"/>
          <w:i w:val="false"/>
          <w:iCs w:val="false"/>
          <w:sz w:val="26"/>
          <w:szCs w:val="26"/>
          <w:u w:val="none"/>
          <w:shd w:fill="auto" w:val="clear"/>
        </w:rPr>
        <w:t>ОКПД2 25.21.12 Поставка основного оборудования (котлы) для СП «Амурские тепловые сети» г. Благовещенск»</w:t>
      </w:r>
      <w:r>
        <w:rPr>
          <w:rStyle w:val="Style8"/>
          <w:rFonts w:eastAsia="Calibri"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  <w:shd w:fill="auto" w:val="clear"/>
        </w:rPr>
        <w:t>.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>
          <w:lang w:val="ru-RU"/>
        </w:rPr>
      </w:pPr>
      <w:bookmarkStart w:id="12" w:name="_Toc149121368"/>
      <w:bookmarkStart w:id="13" w:name="_Toc46743507"/>
      <w:r>
        <w:rPr/>
        <w:t xml:space="preserve">Цель </w:t>
      </w:r>
      <w:bookmarkEnd w:id="13"/>
      <w:r>
        <w:rPr>
          <w:lang w:val="ru-RU"/>
        </w:rPr>
        <w:t>использования закупаемой продукции</w:t>
      </w:r>
      <w:bookmarkEnd w:id="12"/>
      <w:r>
        <w:rPr>
          <w:lang w:val="ru-RU"/>
        </w:rPr>
        <w:t xml:space="preserve"> </w:t>
      </w:r>
    </w:p>
    <w:p>
      <w:pPr>
        <w:pStyle w:val="Normal"/>
        <w:rPr>
          <w:i/>
          <w:i/>
          <w:iCs/>
          <w:highlight w:val="none"/>
          <w:shd w:fill="auto" w:val="clear"/>
        </w:rPr>
      </w:pPr>
      <w:r>
        <w:rPr>
          <w:i/>
          <w:iCs/>
          <w:sz w:val="24"/>
          <w:szCs w:val="24"/>
          <w:shd w:fill="auto" w:val="clear"/>
        </w:rPr>
        <w:t>Строительство газовых котельных -  101, 607 и 252 квартал.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4" w:name="_Toc51339693"/>
      <w:bookmarkStart w:id="15" w:name="_Toc149121369"/>
      <w:bookmarkStart w:id="16" w:name="_Toc50125126"/>
      <w:bookmarkEnd w:id="16"/>
      <w:r>
        <w:rPr>
          <w:iCs/>
        </w:rPr>
        <w:t>Требования к продукции</w:t>
      </w:r>
      <w:bookmarkEnd w:id="14"/>
      <w:bookmarkEnd w:id="15"/>
    </w:p>
    <w:p>
      <w:pPr>
        <w:pStyle w:val="Heading4"/>
        <w:numPr>
          <w:ilvl w:val="1"/>
          <w:numId w:val="3"/>
        </w:numPr>
        <w:rPr/>
      </w:pPr>
      <w:bookmarkStart w:id="17" w:name="_Toc149121370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7"/>
    </w:p>
    <w:p>
      <w:pPr>
        <w:pStyle w:val="Heading3"/>
        <w:numPr>
          <w:ilvl w:val="2"/>
          <w:numId w:val="3"/>
        </w:numPr>
        <w:rPr/>
      </w:pPr>
      <w:bookmarkStart w:id="18" w:name="_Toc149121371"/>
      <w:r>
        <w:rPr>
          <w:lang w:val="ru-RU"/>
        </w:rPr>
        <w:t>Перечень и объем закупаемой продукции</w:t>
      </w:r>
      <w:bookmarkEnd w:id="18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19" w:name="_Toc149121372"/>
      <w:bookmarkStart w:id="20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0"/>
      <w:r>
        <w:rPr>
          <w:sz w:val="24"/>
          <w:szCs w:val="24"/>
          <w:lang w:val="ru-RU"/>
        </w:rPr>
        <w:t>и объем закупаемой продукции</w:t>
      </w:r>
      <w:bookmarkEnd w:id="19"/>
    </w:p>
    <w:p>
      <w:pPr>
        <w:pStyle w:val="Normal"/>
        <w:rPr/>
      </w:pPr>
      <w:r>
        <w:rPr/>
      </w:r>
    </w:p>
    <w:tbl>
      <w:tblPr>
        <w:tblW w:w="9812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35"/>
        <w:gridCol w:w="6141"/>
        <w:gridCol w:w="1426"/>
        <w:gridCol w:w="1409"/>
      </w:tblGrid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 мощность 10 000 кВт- трехходовой, водогрейный, газотрубный, мощностью 10000 кВт. 115С (или эквивалент) в комплекте*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 мощность     13 000 кВт- трехходовой, водогрейный, газотрубный, мощностью 13 000 кВт. 115С (или эквивалент) в комплекте*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ТТ100-01 мощность 10 000 кВт- трехходовой, водогрейный, газотрубный, мощностью 10 000 кВт. 140С (или эквивалент) в комплекте*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>
        <w:trPr/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ТТ100-01 мощность 16 500 кВт- трехходовой, водогрейный, газотрубный, мощностью 16 500 кВт. 140С (или эквивалент) в комплекте*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  <w:t>* состав комплекта указан в разделе 6 приложения №1 к Техническим требованиям-Техническом задании.</w:t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1" w:name="_Toc149121374"/>
      <w:bookmarkStart w:id="22" w:name="_Toc51339696"/>
      <w:r>
        <w:rPr>
          <w:lang w:val="ru-RU"/>
        </w:rPr>
        <w:t xml:space="preserve">Требования </w:t>
      </w:r>
      <w:bookmarkEnd w:id="22"/>
      <w:r>
        <w:rPr>
          <w:lang w:val="ru-RU"/>
        </w:rPr>
        <w:t xml:space="preserve">к срокам поставки продукции 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3" w:name="_Toc149121375"/>
      <w:bookmarkStart w:id="24" w:name="_Toc50125127"/>
      <w:bookmarkStart w:id="25" w:name="_Toc51339697"/>
      <w:bookmarkStart w:id="26" w:name="_Toc50125126_Копия_1"/>
      <w:bookmarkEnd w:id="2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szCs w:val="24"/>
          <w:lang w:val="ru-RU"/>
        </w:rPr>
        <w:t>поставки продукции</w:t>
      </w:r>
      <w:bookmarkEnd w:id="23"/>
      <w:r>
        <w:rPr>
          <w:sz w:val="24"/>
          <w:szCs w:val="24"/>
          <w:lang w:val="ru-RU"/>
        </w:rPr>
        <w:t xml:space="preserve"> </w:t>
      </w:r>
    </w:p>
    <w:tbl>
      <w:tblPr>
        <w:tblW w:w="9780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4"/>
        <w:gridCol w:w="3408"/>
        <w:gridCol w:w="2265"/>
        <w:gridCol w:w="3262"/>
      </w:tblGrid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8" w:name="undefined"/>
            <w:r>
              <w:rPr>
                <w:b/>
                <w:sz w:val="24"/>
                <w:szCs w:val="24"/>
              </w:rPr>
              <w:t>4</w:t>
            </w:r>
            <w:bookmarkEnd w:id="28"/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 мощность 10 000 кВт- трехходовой, водогрейный, газотрубный, мощностью 10000 кВт. 115С (или эквивалент) в комплекте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 w:val="false"/>
                <w:bCs w:val="false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календарного графика </w:t>
            </w:r>
            <w:r>
              <w:rPr>
                <w:b w:val="false"/>
                <w:bCs w:val="false"/>
                <w:sz w:val="24"/>
                <w:szCs w:val="24"/>
              </w:rPr>
              <w:t>(</w:t>
            </w:r>
            <w:r>
              <w:rPr>
                <w:rFonts w:eastAsia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Приложение №2 к Техническим требованиям).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 мощность     13 000 кВт- трехходовой, водогрейный, газотрубный, мощностью 13 000 кВт. 115С (или эквивалент) в комлекте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Согласно календарного графика </w:t>
            </w:r>
            <w:r>
              <w:rPr>
                <w:b w:val="false"/>
                <w:bCs w:val="false"/>
                <w:sz w:val="24"/>
                <w:szCs w:val="24"/>
              </w:rPr>
              <w:t>(</w:t>
            </w:r>
            <w:r>
              <w:rPr>
                <w:rFonts w:eastAsia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Приложение №2 к Техническим требованиям).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ТТ100-01 мощность 10 000 кВт- трехходовой, водогрейный, газотрубный, мощностью 10 000 кВт. 140С (или эквивалент) в комплекте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Согласно календарного графика </w:t>
            </w:r>
            <w:r>
              <w:rPr>
                <w:rFonts w:eastAsia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(Приложение №2 к Техническим требованиям).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/>
            </w:pPr>
            <w:r>
              <w:rPr/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4"/>
                <w:sz w:val="24"/>
                <w:u w:val="none"/>
                <w:vertAlign w:val="baseline"/>
              </w:rPr>
              <w:t>Котел «Термотехник» ТТ100-01 мощность 16 500 кВт- трехходовой, водогрейный, газотрубный, мощностью 16 500 кВт. 140С (или эквивалент) в комплекте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 xml:space="preserve">Согласно календарного графика </w:t>
            </w:r>
            <w:r>
              <w:rPr>
                <w:rFonts w:eastAsia="Calibri"/>
                <w:b w:val="false"/>
                <w:bCs w:val="false"/>
                <w:i w:val="false"/>
                <w:iCs w:val="false"/>
                <w:sz w:val="24"/>
                <w:szCs w:val="24"/>
                <w:shd w:fill="auto" w:val="clear"/>
              </w:rPr>
              <w:t>(Приложение №2 к Техническим требованиям).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1" w:gutter="0" w:header="680" w:top="1134" w:footer="397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29" w:name="_Toc149121377"/>
      <w:bookmarkStart w:id="30" w:name="_Toc46743511"/>
      <w:bookmarkStart w:id="31" w:name="_Toc54785622_Копия_1"/>
      <w:bookmarkEnd w:id="31"/>
      <w:r>
        <w:rPr/>
        <w:t xml:space="preserve">Требования к </w:t>
      </w:r>
      <w:bookmarkEnd w:id="30"/>
      <w:r>
        <w:rPr>
          <w:lang w:val="ru-RU"/>
        </w:rPr>
        <w:t>качеству продукции</w:t>
      </w:r>
      <w:bookmarkEnd w:id="29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32" w:name="_Toc51339698"/>
      <w:bookmarkStart w:id="33" w:name="_Toc50125131"/>
      <w:r>
        <w:rPr>
          <w:sz w:val="24"/>
          <w:szCs w:val="24"/>
        </w:rPr>
        <w:t xml:space="preserve"> </w:t>
      </w:r>
      <w:bookmarkStart w:id="34" w:name="_Toc149121378"/>
      <w:bookmarkEnd w:id="32"/>
      <w:bookmarkEnd w:id="33"/>
      <w:r>
        <w:rPr>
          <w:bCs/>
          <w:iCs/>
          <w:sz w:val="24"/>
          <w:szCs w:val="24"/>
        </w:rPr>
        <w:t xml:space="preserve">Таблица 3. Требования к </w:t>
      </w:r>
      <w:r>
        <w:rPr>
          <w:bCs/>
          <w:iCs/>
          <w:sz w:val="24"/>
          <w:szCs w:val="24"/>
          <w:lang w:val="ru-RU"/>
        </w:rPr>
        <w:t>продукц</w:t>
      </w:r>
      <w:bookmarkEnd w:id="34"/>
      <w:r>
        <w:rPr>
          <w:bCs/>
          <w:iCs/>
          <w:sz w:val="24"/>
          <w:szCs w:val="24"/>
          <w:lang w:val="ru-RU"/>
        </w:rPr>
        <w:t>ии</w:t>
      </w:r>
      <w:r>
        <w:br w:type="page"/>
      </w:r>
    </w:p>
    <w:tbl>
      <w:tblPr>
        <w:tblW w:w="15026" w:type="dxa"/>
        <w:jc w:val="left"/>
        <w:tblInd w:w="-1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HBand="0" w:noVBand="1" w:firstColumn="1" w:lastRow="0" w:lastColumn="0" w:firstRow="1"/>
      </w:tblPr>
      <w:tblGrid>
        <w:gridCol w:w="850"/>
        <w:gridCol w:w="3970"/>
        <w:gridCol w:w="3830"/>
        <w:gridCol w:w="1432"/>
        <w:gridCol w:w="2820"/>
        <w:gridCol w:w="2123"/>
      </w:tblGrid>
      <w:tr>
        <w:trPr/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pageBreakBefore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 xml:space="preserve">№ </w:t>
            </w:r>
            <w:r>
              <w:rPr>
                <w:b/>
                <w:bCs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3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Требование заказчика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38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1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</w:tr>
      <w:tr>
        <w:trPr>
          <w:trHeight w:val="99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4"/>
                <w:u w:val="none"/>
                <w:vertAlign w:val="baseline"/>
              </w:rPr>
              <w:t>Котел «Термотехник» ТТ100 мощность 10 000 кВт- трехходовой, водогрейный, газотрубный, мощностью 10000 кВт. 115С (или эквивалент) в комплекте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В соответствии с Приложением №1,  к настоящим Техническим требованиям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9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4"/>
                <w:u w:val="none"/>
                <w:vertAlign w:val="baseline"/>
              </w:rPr>
              <w:t>Котел «Термотехник» ТТ100 мощность     13 000 кВт- трехходовой, водогрейный, газотрубный, мощностью 13 000 кВт. 115С (или эквивалент) в комлекте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В соответствии с Приложением №1,  к настоящим Техническим требованиям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9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4"/>
                <w:u w:val="none"/>
                <w:vertAlign w:val="baseline"/>
              </w:rPr>
              <w:t>Котел «Термотехник» ТТ100-01 мощность 10 000 кВт- трехходовой, водогрейный, газотрубный, мощностью 10 000 кВт. 140С (или эквивалент) в комплекте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В соответствии с Приложением №1,  к настоящим Техническим требованиям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9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i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4"/>
                <w:u w:val="none"/>
                <w:vertAlign w:val="baseline"/>
              </w:rPr>
              <w:t>Котел «Термотехник» ТТ100-01 мощность 16 500 кВт- трехходовой, водогрейный, газотрубный, мощностью 16 500 кВт. 140С (или эквивалент) в комплекте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В соответствии с Приложением №1,  к настоящим Техническим требованиям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FFFFFF" w:fill="FFFFFF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2.</w:t>
            </w:r>
          </w:p>
        </w:tc>
        <w:tc>
          <w:tcPr>
            <w:tcW w:w="1417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Требования к перечню документов, необходимых для включения в состав заявки (для подтверждения применимости предложенной Участником продукции (в том числе эквивалентной продукции):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2.1.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right="142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Требования к наличию и представлению документов, подтверждающих </w:t>
            </w:r>
            <w:r>
              <w:rPr>
                <w:bCs/>
                <w:sz w:val="22"/>
                <w:szCs w:val="22"/>
                <w:lang w:val="ru-RU" w:eastAsia="ru-RU" w:bidi="ar-SA"/>
              </w:rPr>
              <w:t xml:space="preserve">безопасность оборудования, а также, </w:t>
            </w:r>
            <w:r>
              <w:rPr>
                <w:sz w:val="22"/>
                <w:szCs w:val="22"/>
                <w:lang w:val="ru-RU" w:eastAsia="ru-RU" w:bidi="ar-SA"/>
              </w:rPr>
              <w:t xml:space="preserve">соответствие требованиям настоящих ТТ (заявленных характеристик и конструктива предложенной к поставке продукции). 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jc w:val="left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lang w:val="ru-RU" w:eastAsia="ru-RU" w:bidi="ar-SA"/>
              </w:rPr>
              <w:t xml:space="preserve">Продукция должна соответствовать: Техническому регламенту Таможенного союза: 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0"/>
              <w:contextualSpacing/>
              <w:jc w:val="left"/>
              <w:rPr>
                <w:rFonts w:eastAsia="Sylfaen"/>
                <w:sz w:val="22"/>
                <w:szCs w:val="22"/>
                <w:highlight w:val="none"/>
              </w:rPr>
            </w:pPr>
            <w:r>
              <w:rPr>
                <w:rFonts w:eastAsia="Sylfaen"/>
                <w:sz w:val="22"/>
                <w:szCs w:val="22"/>
                <w:lang w:val="ru-RU" w:eastAsia="ru-RU" w:bidi="ar-SA"/>
              </w:rPr>
              <w:t xml:space="preserve">ТР ТС 016/2011 «О безопасности аппаратов, работающих на газообразном топливе». 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0"/>
              <w:contextualSpacing/>
              <w:jc w:val="left"/>
              <w:rPr>
                <w:rFonts w:eastAsia="Sylfaen"/>
                <w:sz w:val="22"/>
                <w:szCs w:val="22"/>
                <w:highlight w:val="none"/>
              </w:rPr>
            </w:pPr>
            <w:r>
              <w:rPr>
                <w:rFonts w:eastAsia="Sylfaen"/>
                <w:sz w:val="22"/>
                <w:szCs w:val="22"/>
                <w:lang w:val="ru-RU" w:eastAsia="ru-RU" w:bidi="ar-SA"/>
              </w:rPr>
              <w:t xml:space="preserve">ТР ТС 032/2013 «О безопасности оборудования, работающего под избыточным давлением». 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0"/>
              <w:contextualSpacing/>
              <w:jc w:val="left"/>
              <w:rPr>
                <w:rFonts w:eastAsia="Sylfaen"/>
                <w:sz w:val="22"/>
                <w:szCs w:val="22"/>
                <w:highlight w:val="none"/>
              </w:rPr>
            </w:pPr>
            <w:r>
              <w:rPr>
                <w:rFonts w:eastAsia="Sylfaen"/>
                <w:sz w:val="22"/>
                <w:szCs w:val="22"/>
                <w:lang w:val="ru-RU" w:eastAsia="ru-RU" w:bidi="ar-SA"/>
              </w:rPr>
              <w:t>ТР ТС 010/2011. «О безопасности машин и оборудования».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0"/>
              <w:contextualSpacing/>
              <w:jc w:val="left"/>
              <w:rPr>
                <w:rFonts w:eastAsia="Sylfaen"/>
                <w:sz w:val="22"/>
                <w:szCs w:val="22"/>
                <w:highlight w:val="none"/>
              </w:rPr>
            </w:pPr>
            <w:r>
              <w:rPr>
                <w:rFonts w:eastAsia="Sylfaen"/>
                <w:sz w:val="22"/>
                <w:szCs w:val="22"/>
                <w:lang w:val="ru-RU" w:eastAsia="ru-RU" w:bidi="ar-SA"/>
              </w:rPr>
              <w:t>ТР ТС 004/2011. «О безопасности низковольтного оборудования»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В составе заявки участник должен предоставить действующие на дату окончания срока подачи заявок сертификаты соответствия или декларации о соответствии  предлагаемой продукции требованиям, </w:t>
            </w:r>
            <w:r>
              <w:rPr>
                <w:rFonts w:eastAsia="Sylfaen"/>
                <w:sz w:val="22"/>
                <w:szCs w:val="22"/>
                <w:lang w:val="ru-RU" w:eastAsia="ru-RU" w:bidi="ar-SA"/>
              </w:rPr>
              <w:t>ТР ТС 016/2011,</w:t>
            </w:r>
            <w:r>
              <w:rPr>
                <w:sz w:val="22"/>
                <w:szCs w:val="22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 xml:space="preserve">ТР ТС 032/2013, </w:t>
            </w:r>
            <w:r>
              <w:rPr>
                <w:rFonts w:eastAsia="Sylfaen"/>
                <w:sz w:val="22"/>
                <w:szCs w:val="22"/>
                <w:lang w:val="ru-RU" w:eastAsia="ru-RU" w:bidi="ar-SA"/>
              </w:rPr>
              <w:t>ТР ТС 010/2011, ТР ТС 004/2011.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3.</w:t>
            </w:r>
          </w:p>
        </w:tc>
        <w:tc>
          <w:tcPr>
            <w:tcW w:w="7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3.1.</w:t>
            </w:r>
          </w:p>
        </w:tc>
        <w:tc>
          <w:tcPr>
            <w:tcW w:w="397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Подтверждение параметров оборудования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>Должно соответствовать ГОСТ 21563-2016 «Котлы водогрейные. Общие технические требования»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3.2.</w:t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 xml:space="preserve">Должно соответствовать 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highlight w:val="white"/>
                <w:lang w:val="ru-RU" w:eastAsia="ru-RU" w:bidi="ar-SA"/>
              </w:rPr>
              <w:t>ГОСТ 12.2.003-91 «Оборудование производственное. Общие требования безопасности»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3.3.</w:t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 xml:space="preserve">Должно соответствовать  </w:t>
            </w: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highlight w:val="white"/>
                <w:lang w:val="ru-RU" w:eastAsia="ru-RU" w:bidi="ar-SA"/>
              </w:rPr>
              <w:t>ГОСТ 12.1.005-88 «Система стандартов безопасности труда. Общие санитарно-гигиенические требования к воздуху рабочей зоны»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3.4.</w:t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b w:val="false"/>
                <w:bCs w:val="false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>Должно соответствовать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3.5.</w:t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 xml:space="preserve">Должно соответствовать 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ГОСТ 12.1.010-76 «Система стандартов безопасности труда. взрывобезопасность».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3.6.</w:t>
            </w:r>
          </w:p>
        </w:tc>
        <w:tc>
          <w:tcPr>
            <w:tcW w:w="397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sz w:val="22"/>
                <w:szCs w:val="22"/>
                <w:lang w:val="ru-RU" w:eastAsia="ru-RU" w:bidi="ar-SA"/>
              </w:rPr>
              <w:t xml:space="preserve">Должно соответствовать 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val="ru-RU" w:eastAsia="ru-RU" w:bidi="ar-SA"/>
              </w:rPr>
              <w:t>ГОСТ 12.1.003-2014 «Шум. Общие требования безопасности»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4.</w:t>
            </w:r>
          </w:p>
        </w:tc>
        <w:tc>
          <w:tcPr>
            <w:tcW w:w="7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4.1.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Гарантия на поставляемое оборудование, включая все его составляющие части (комплектующие изделия), не менее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60 (шестьдесят) месяцев со дня ввода котла в эксплуатацию.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Указание срока гарантии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sz w:val="22"/>
                <w:szCs w:val="22"/>
              </w:rPr>
            </w:pPr>
            <w:r>
              <w:rPr>
                <w:rFonts w:eastAsia="Times New Roman"/>
                <w:b w:val="false"/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5.</w:t>
            </w:r>
          </w:p>
        </w:tc>
        <w:tc>
          <w:tcPr>
            <w:tcW w:w="7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5.1.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  <w:lang w:val="ru-RU" w:eastAsia="ru-RU" w:bidi="ar-SA"/>
              </w:rPr>
              <w:t>Требования к упаковке продукции, к защите продукции при транспортировке и хранении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nil" w:color="auto"/>
              <w:rPr>
                <w:sz w:val="18"/>
                <w:szCs w:val="18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>Соответствие требованиям:</w:t>
            </w:r>
          </w:p>
          <w:p>
            <w:pPr>
              <w:pStyle w:val="Normal"/>
              <w:widowControl w:val="false"/>
              <w:shd w:val="nil" w:color="auto"/>
              <w:rPr>
                <w:sz w:val="18"/>
                <w:szCs w:val="18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>ГОСТ 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      </w:r>
          </w:p>
          <w:p>
            <w:pPr>
              <w:pStyle w:val="Normal"/>
              <w:widowControl w:val="false"/>
              <w:shd w:val="nil" w:color="auto"/>
              <w:rPr>
                <w:sz w:val="18"/>
                <w:szCs w:val="18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>ГОСТ 14192-96 «Маркировка грузов»</w:t>
            </w:r>
          </w:p>
          <w:p>
            <w:pPr>
              <w:pStyle w:val="Normal"/>
              <w:widowControl w:val="false"/>
              <w:shd w:val="nil" w:color="auto"/>
              <w:rPr>
                <w:sz w:val="18"/>
                <w:szCs w:val="18"/>
                <w:highlight w:val="white"/>
                <w14:ligatures w14:val="non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>ГОСТ 30735-2001 «Котлы отопительные водогрейные теплопроизводительностью от 0,1 до 4 МВт. Общие технические условия»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5.2.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ru-RU" w:eastAsia="ru-RU" w:bidi="ar-SA"/>
              </w:rPr>
              <w:t>Место поставки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  <w:lang w:val="ru-RU" w:eastAsia="ru-RU" w:bidi="ar-SA"/>
              </w:rPr>
              <w:t xml:space="preserve">АО «ДГК»  СП «Амурские тепловые сети» 690091, Россия, Амурская обл., г. Благовещенск, ул. Нагорная д.19   ИНН/КПП 1434031363/280145002 </w:t>
            </w:r>
          </w:p>
          <w:p>
            <w:pPr>
              <w:pStyle w:val="NormalIndent"/>
              <w:widowControl w:val="false"/>
              <w:spacing w:before="60" w:after="60"/>
              <w:ind w:hanging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highlight w:val="white"/>
                <w:shd w:fill="FFFF00" w:val="clear"/>
                <w:lang w:val="ru-RU" w:eastAsia="ru-RU" w:bidi="ar-SA"/>
              </w:rPr>
              <w:t>(уточняется Поставщиком за две недели до отгрузки)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 w:eastAsia="ru-RU" w:bidi="ar-SA"/>
              </w:rPr>
              <w:t>5.3.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auto" w:val="solid"/>
            <w:vAlign w:val="center"/>
          </w:tcPr>
          <w:p>
            <w:pPr>
              <w:pStyle w:val="Normal"/>
              <w:widowControl w:val="fals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Условие доставки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ru-RU" w:eastAsia="ru-RU" w:bidi="ar-SA"/>
              </w:rPr>
              <w:t>Продукция доставляется Заказчику транспортом Поставщика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auto" w:val="solid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 w:eastAsia="ru-RU" w:bidi="ar-SA"/>
              </w:rPr>
              <w:t>-//-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81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  <w14:ligatures w14:val="none"/>
              </w:rPr>
            </w:pPr>
            <w:r>
              <w:rPr>
                <w:b/>
                <w:bCs/>
                <w:sz w:val="22"/>
                <w:szCs w:val="22"/>
                <w:lang w:val="ru-RU" w:eastAsia="ru-RU" w:bidi="ar-SA"/>
              </w:rPr>
              <w:t>6</w:t>
            </w:r>
          </w:p>
        </w:tc>
        <w:tc>
          <w:tcPr>
            <w:tcW w:w="7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Autospacing="0" w:before="0" w:afterAutospacing="0" w:after="0"/>
              <w:jc w:val="left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ru-RU" w:eastAsia="ru-RU" w:bidi="ar-SA"/>
              </w:rPr>
              <w:t>Прочие (дополнительные) требования к продукции (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strike w:val="false"/>
                <w:dstrike w:val="false"/>
                <w:color w:val="000000"/>
                <w:sz w:val="22"/>
                <w:szCs w:val="22"/>
                <w:u w:val="none"/>
                <w:lang w:val="ru-RU" w:eastAsia="ru-RU" w:bidi="ar-SA"/>
              </w:rPr>
              <w:t>Национальный режим (Постановление Правительства от 23.12.2024 № 1875)</w:t>
            </w:r>
            <w:r>
              <w:rPr>
                <w:b/>
                <w:sz w:val="22"/>
                <w:szCs w:val="22"/>
                <w:lang w:val="ru-RU" w:eastAsia="ru-RU" w:bidi="ar-SA"/>
              </w:rPr>
              <w:t>)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spacing w:before="60" w:after="60"/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  <w:lang w:val="ru-RU" w:eastAsia="ru-RU" w:bidi="ar-SA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Style36"/>
              <w:widowControl w:val="false"/>
              <w:spacing w:before="120" w:after="0"/>
              <w:rPr>
                <w:rFonts w:ascii="Times New Roman" w:hAnsi="Times New Roman" w:eastAsia="Times New Roman" w:cs="Times New Roman"/>
                <w:bCs w:val="false"/>
                <w:i w:val="false"/>
                <w:i w:val="false"/>
                <w:color w:val="000000" w:themeColor="text1"/>
                <w:sz w:val="22"/>
                <w:szCs w:val="22"/>
                <w:highlight w:val="non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 w:themeColor="text1"/>
                <w:sz w:val="22"/>
                <w:szCs w:val="22"/>
              </w:rPr>
              <w:t xml:space="preserve">По позициям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 w:themeColor="text1"/>
                <w:sz w:val="22"/>
                <w:szCs w:val="22"/>
              </w:rPr>
              <w:t>п. 1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</w:rPr>
              <w:t xml:space="preserve">Таблицы 3 п.п №1.1-№1.4 данных Технических требований 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 w:themeColor="text1"/>
                <w:sz w:val="22"/>
                <w:szCs w:val="22"/>
              </w:rPr>
              <w:t>у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 w:themeColor="text1"/>
                <w:sz w:val="22"/>
                <w:szCs w:val="22"/>
                <w:highlight w:val="white"/>
              </w:rPr>
              <w:t>становлено ограничение закупок товаров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  <w:highlight w:val="white"/>
              </w:rPr>
              <w:t>, происходящих из иностранных государств (в соответствии с ПП РФ № 1875 от 23.12.2024г.)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</w:rPr>
              <w:t>.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При осуществлении закупки товара,</w:t>
            </w: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 xml:space="preserve">если Правительством РФ установлено </w:t>
            </w:r>
            <w:hyperlink r:id="rId7" w:tgtFrame="https://login.consultant.ru/link/?req=doc&amp;base=LAW&amp;n=494318&amp;dst=100007">
              <w:r>
                <w:rPr>
                  <w:rFonts w:eastAsia="Times New Roman" w:cs="Times New Roman"/>
                  <w:color w:val="auto"/>
                  <w:sz w:val="22"/>
                  <w:szCs w:val="22"/>
                  <w:lang w:eastAsia="ru-RU"/>
                </w:rPr>
                <w:t>ограничение</w:t>
              </w:r>
            </w:hyperlink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 xml:space="preserve"> закупок товаров, происходящих из иностранных государств (по перечню 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shd w:fill="FFFFFF" w:val="clear"/>
              </w:rPr>
              <w:t>согласно приложению N 2</w:t>
            </w:r>
            <w:r>
              <w:rPr>
                <w:rFonts w:eastAsia="Times New Roman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sz w:val="22"/>
                <w:szCs w:val="22"/>
                <w:shd w:fill="FFFFFF" w:val="clear"/>
                <w:lang w:val="ru-RU"/>
              </w:rPr>
              <w:t xml:space="preserve"> ПП РФ № 1875)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не допускаются: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а) заключение договора на поставку товара, происходящего из иностранного государства, если поданы заявки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rFonts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eastAsia="ru-RU"/>
              </w:rPr>
      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both"/>
              <w:rPr>
                <w:rFonts w:ascii="Times New Roman" w:hAnsi="Times New Roman" w:cs="Times New Roman"/>
                <w:bCs/>
                <w:i/>
                <w:i/>
                <w:caps w:val="false"/>
                <w:smallCaps w:val="false"/>
                <w:color w:val="000000" w:themeColor="text1"/>
                <w:spacing w:val="0"/>
                <w:sz w:val="22"/>
                <w:szCs w:val="22"/>
              </w:rPr>
            </w:pP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val="ru-RU" w:eastAsia="en-US" w:bidi="ar-SA"/>
              </w:rPr>
              <w:t>Поставляемая продукция должна быть  быть включена в р</w:t>
            </w: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lang w:val="ru-RU" w:eastAsia="ru-RU" w:bidi="ar-SA"/>
              </w:rPr>
              <w:t>еестры, а именно:</w:t>
            </w:r>
          </w:p>
          <w:p>
            <w:pPr>
              <w:pStyle w:val="NormalWeb"/>
              <w:keepNext w:val="false"/>
              <w:keepLines w:val="false"/>
              <w:widowControl w:val="false"/>
              <w:numPr>
                <w:ilvl w:val="0"/>
                <w:numId w:val="7"/>
              </w:numPr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</w:rPr>
            </w:pP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lang w:val="ru-RU" w:eastAsia="ru-RU" w:bidi="ar-SA"/>
              </w:rPr>
              <w:t>Реестр российской промышленной продукции, предусмотренные статьей 17</w:t>
            </w: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vertAlign w:val="superscript"/>
                <w:lang w:val="ru-RU" w:eastAsia="ru-RU" w:bidi="ar-SA"/>
              </w:rPr>
              <w:t>1</w:t>
            </w: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lang w:val="ru-RU" w:eastAsia="ru-RU" w:bidi="ar-SA"/>
              </w:rPr>
              <w:t xml:space="preserve"> Федерального закона "О промышленной политике в Российской Федерации" содержащей в том числе: </w:t>
            </w:r>
          </w:p>
          <w:p>
            <w:pPr>
              <w:pStyle w:val="NormalWeb"/>
              <w:keepNext w:val="false"/>
              <w:keepLines w:val="false"/>
              <w:widowControl w:val="false"/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bCs/>
                <w:i/>
                <w:i/>
                <w:caps w:val="false"/>
                <w:smallCaps w:val="false"/>
                <w:color w:val="000000" w:themeColor="text1"/>
                <w:spacing w:val="0"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lang w:val="ru-RU" w:eastAsia="ru-RU" w:bidi="ar-SA"/>
              </w:rPr>
              <w:t xml:space="preserve">- 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Постановлением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719.                         </w:t>
            </w:r>
          </w:p>
          <w:p>
            <w:pPr>
              <w:pStyle w:val="NormalWeb"/>
              <w:keepNext w:val="false"/>
              <w:keepLines w:val="false"/>
              <w:widowControl w:val="false"/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eastAsia="Times New Roman" w:cs="Times New Roman"/>
                <w:bCs/>
                <w:i/>
                <w:i/>
                <w:caps w:val="false"/>
                <w:smallCaps w:val="false"/>
                <w:color w:val="000000" w:themeColor="text1"/>
                <w:spacing w:val="0"/>
                <w:sz w:val="22"/>
                <w:szCs w:val="22"/>
              </w:rPr>
            </w:pPr>
            <w:r>
              <w:rPr>
                <w:rFonts w:eastAsia="Times New Roman" w:cs="Times New Roman"/>
                <w:i/>
                <w:iCs/>
                <w:caps w:val="false"/>
                <w:smallCaps w:val="false"/>
                <w:color w:val="000000" w:themeColor="text1"/>
                <w:spacing w:val="0"/>
                <w:sz w:val="22"/>
                <w:szCs w:val="22"/>
                <w:shd w:fill="FFFFFF" w:val="clear"/>
                <w:lang w:val="ru-RU" w:eastAsia="ru-RU" w:bidi="ar-SA"/>
              </w:rPr>
              <w:t>-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 радиоэлектронной продукцией первого уровня или радиоэлектронной продукцией второго уровня;</w:t>
            </w:r>
          </w:p>
          <w:p>
            <w:pPr>
              <w:pStyle w:val="NormalWeb"/>
              <w:keepNext w:val="false"/>
              <w:keepLines w:val="false"/>
              <w:widowControl w:val="false"/>
              <w:shd w:val="clear" w:color="auto" w:fill="FFFFFF"/>
              <w:spacing w:lineRule="auto" w:line="240" w:beforeAutospacing="0" w:before="0" w:afterAutospacing="0" w:after="0"/>
              <w:ind w:left="0" w:right="0" w:hanging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caps w:val="false"/>
                <w:smallCaps w:val="false"/>
                <w:color w:val="auto"/>
                <w:spacing w:val="0"/>
                <w:sz w:val="22"/>
                <w:szCs w:val="22"/>
                <w:highlight w:val="yellow"/>
                <w:shd w:fill="FFFFFF" w:val="clear"/>
              </w:rPr>
            </w:pPr>
            <w:r>
              <w:rPr>
                <w:rFonts w:eastAsia="Calibri" w:cs="Times New Roman" w:eastAsiaTheme="minorHAnsi"/>
                <w:i/>
                <w:iCs/>
                <w:color w:val="000000" w:themeColor="text1"/>
                <w:sz w:val="22"/>
                <w:szCs w:val="22"/>
                <w:lang w:val="ru-RU" w:eastAsia="en-US" w:bidi="ar-SA"/>
              </w:rPr>
              <w:t xml:space="preserve"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pacing w:before="0" w:afterAutospacing="0" w:after="0"/>
              <w:jc w:val="both"/>
              <w:rPr>
                <w:rFonts w:ascii="Times New Roman" w:hAnsi="Times New Roman" w:cs="Times New Roman"/>
                <w:i w:val="false"/>
                <w:i w:val="false"/>
                <w:iCs w:val="false"/>
                <w:color w:val="auto"/>
                <w:sz w:val="22"/>
                <w:szCs w:val="22"/>
                <w:highlight w:val="yellow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auto"/>
                <w:sz w:val="22"/>
                <w:szCs w:val="22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both"/>
              <w:rPr>
                <w:rFonts w:ascii="Times New Roman" w:hAnsi="Times New Roman" w:eastAsia="Calibri" w:cs="Times New Roman" w:eastAsiaTheme="minorHAnsi"/>
                <w:b/>
                <w:bCs/>
                <w:i/>
                <w:i/>
                <w:color w:val="000000" w:themeColor="text1"/>
                <w:sz w:val="22"/>
                <w:szCs w:val="22"/>
                <w:highlight w:val="white"/>
                <w:u w:val="single"/>
              </w:rPr>
            </w:pP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ru-RU" w:bidi="ar-SA"/>
              </w:rPr>
              <w:t>По позициям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ru-RU" w:bidi="ar-SA"/>
              </w:rPr>
              <w:t xml:space="preserve"> п.1 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</w:rPr>
              <w:t>Таблицы 3. п.п. №1.1.-№1.4.</w:t>
            </w:r>
            <w:r>
              <w:rPr>
                <w:rFonts w:eastAsia="Times New Roman" w:cs="Times New Roman"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ru-RU" w:bidi="ar-SA"/>
              </w:rPr>
              <w:t xml:space="preserve"> данных Технических требований </w:t>
            </w:r>
            <w:r>
              <w:rPr>
                <w:rFonts w:eastAsia="Calibri" w:cs="Times New Roman" w:eastAsiaTheme="minorHAnsi"/>
                <w:i w:val="false"/>
                <w:iCs w:val="false"/>
                <w:color w:val="auto"/>
                <w:sz w:val="22"/>
                <w:szCs w:val="22"/>
                <w:highlight w:val="white"/>
                <w:lang w:val="ru-RU" w:eastAsia="en-US" w:bidi="ar-SA"/>
              </w:rPr>
              <w:t xml:space="preserve">Участник должен предоставить </w:t>
            </w:r>
            <w:r>
              <w:rPr>
                <w:rFonts w:eastAsia="Calibri" w:cs="Times New Roman" w:eastAsiaTheme="minorHAnsi"/>
                <w:b w:val="false"/>
                <w:bCs w:val="false"/>
                <w:i w:val="false"/>
                <w:iCs w:val="false"/>
                <w:color w:val="000000" w:themeColor="text1"/>
                <w:sz w:val="22"/>
                <w:szCs w:val="22"/>
                <w:highlight w:val="white"/>
                <w:u w:val="single"/>
                <w:lang w:val="ru-RU" w:eastAsia="en-US" w:bidi="ar-SA"/>
              </w:rPr>
              <w:t>в составе своей заявки Коммерческое предложение</w:t>
            </w:r>
            <w:r>
              <w:rPr>
                <w:rFonts w:eastAsia="Calibri" w:cs="Times New Roman" w:eastAsiaTheme="minorHAnsi"/>
                <w:b w:val="false"/>
                <w:bCs w:val="false"/>
                <w:i w:val="false"/>
                <w:iCs w:val="false"/>
                <w:color w:val="000000" w:themeColor="text1"/>
                <w:sz w:val="22"/>
                <w:szCs w:val="22"/>
                <w:highlight w:val="white"/>
                <w:u w:val="none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по форме, установленной Документацией о закупке, с указанием в отношении поставляемой продукции информации: 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eastAsia="Calibri" w:cs="Times New Roman" w:eastAsiaTheme="minorHAnsi"/>
                <w:bCs w:val="false"/>
                <w:i w:val="false"/>
                <w:i w:val="false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наименование реестра, 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spacing w:lineRule="auto" w:line="240" w:before="0" w:after="0"/>
              <w:ind w:left="0" w:right="0" w:hanging="0"/>
              <w:contextualSpacing/>
              <w:jc w:val="both"/>
              <w:rPr>
                <w:rFonts w:ascii="Times New Roman" w:hAnsi="Times New Roman" w:eastAsia="Calibri" w:cs="Times New Roman" w:eastAsiaTheme="minorHAnsi"/>
                <w:bCs w:val="false"/>
                <w:i w:val="false"/>
                <w:i w:val="false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>номер реестровой записи соответствующего реестра.</w:t>
            </w:r>
          </w:p>
          <w:p>
            <w:pPr>
              <w:pStyle w:val="Normal"/>
              <w:widowControl w:val="false"/>
              <w:spacing w:before="0" w:after="0"/>
              <w:ind w:right="0" w:hanging="0"/>
              <w:jc w:val="both"/>
              <w:rPr>
                <w:rFonts w:ascii="Times New Roman" w:hAnsi="Times New Roman" w:eastAsia="Calibri" w:cs="Times New Roman" w:eastAsiaTheme="minorHAnsi"/>
                <w:bCs w:val="false"/>
                <w:i w:val="false"/>
                <w:i w:val="false"/>
                <w:color w:val="000000" w:themeColor="text1"/>
                <w:sz w:val="22"/>
                <w:szCs w:val="22"/>
                <w:highlight w:val="white"/>
              </w:rPr>
            </w:pPr>
            <w:r>
              <w:rPr>
                <w:rFonts w:eastAsia="Calibri" w:cs="Times New Roman" w:eastAsiaTheme="minorHAnsi"/>
                <w:bCs w:val="false"/>
                <w:i w:val="false"/>
                <w:color w:val="000000" w:themeColor="text1"/>
                <w:sz w:val="22"/>
                <w:szCs w:val="22"/>
                <w:highlight w:val="white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b/>
                <w:bCs/>
              </w:rPr>
            </w:pPr>
            <w:r>
              <w:rPr>
                <w:b/>
                <w:bCs/>
                <w:i w:val="false"/>
                <w:iCs w:val="false"/>
                <w:color w:val="000000" w:themeColor="text1"/>
                <w:sz w:val="22"/>
                <w:szCs w:val="22"/>
                <w:highlight w:val="white"/>
                <w:lang w:val="ru-RU" w:eastAsia="ru-RU" w:bidi="ar-SA"/>
              </w:rPr>
              <w:t>В случае отсутствия требуемой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</w:t>
            </w:r>
            <w:r>
              <w:rPr>
                <w:rFonts w:eastAsia="Times New Roman" w:cs="Times New Roman"/>
                <w:b/>
                <w:bCs/>
                <w:i w:val="false"/>
                <w:iCs w:val="false"/>
                <w:color w:val="000000"/>
                <w:sz w:val="22"/>
                <w:szCs w:val="22"/>
                <w:highlight w:val="white"/>
                <w:lang w:val="ru-RU" w:eastAsia="ru-RU" w:bidi="ar-SA"/>
              </w:rPr>
              <w:t>ПП РФ №1875 от 23.12.2024)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pacing w:before="60" w:after="60"/>
              <w:rPr>
                <w:highlight w:val="none"/>
                <w:shd w:fill="auto" w:val="clear"/>
              </w:rPr>
            </w:pPr>
            <w:r>
              <w:rPr>
                <w:b/>
                <w:bCs/>
                <w:sz w:val="24"/>
                <w:szCs w:val="24"/>
                <w:shd w:fill="auto" w:val="clear"/>
              </w:rPr>
              <w:t>Требования к эквивалентной продукции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</w:rPr>
              <w:t>-//-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shd w:fill="auto" w:val="clear"/>
                <w:lang w:val="en-US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</w:tr>
      <w:tr>
        <w:trPr/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highlight w:val="none"/>
                <w:shd w:fill="auto" w:val="clear"/>
              </w:rPr>
            </w:pPr>
            <w:r>
              <w:rPr>
                <w:sz w:val="24"/>
                <w:szCs w:val="24"/>
                <w:shd w:fill="auto" w:val="clear"/>
                <w:lang w:val="en-US"/>
              </w:rPr>
              <w:t>7.1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pacing w:before="60" w:after="60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Эквивалент</w:t>
            </w: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jc w:val="both"/>
              <w:rPr>
                <w:i/>
                <w:i/>
                <w:iCs/>
                <w:color w:val="000000"/>
                <w:sz w:val="22"/>
                <w:szCs w:val="22"/>
                <w:shd w:fill="auto" w:val="clear"/>
              </w:rPr>
            </w:pPr>
            <w:r>
              <w:rPr>
                <w:i/>
                <w:iCs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b w:val="false"/>
                <w:i/>
                <w:iCs/>
                <w:color w:val="000000"/>
                <w:sz w:val="22"/>
                <w:szCs w:val="22"/>
                <w:shd w:fill="auto" w:val="clear"/>
              </w:rPr>
              <w:t xml:space="preserve">Указанные в настоящих ТТ </w:t>
            </w:r>
            <w:r>
              <w:rPr>
                <w:i/>
                <w:iCs/>
                <w:color w:val="000000"/>
                <w:sz w:val="22"/>
                <w:szCs w:val="22"/>
                <w:shd w:fill="auto" w:val="clear"/>
              </w:rPr>
              <w:t xml:space="preserve">ссылки на ТУ, марку (тип) продукции носят описательный, а не обязательный характер. В случае, если Участником предлагается эквивалентная продукция требуемой Заказчику продукции или ее составных частей, он должен в обязательном порядке в составе своего предложения предоставить подробное техническое описание предлагаемого к поставке эквивалента, в объеме не менее установленных в настоящих ТТ требований. 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</w:t>
            </w:r>
          </w:p>
          <w:p>
            <w:pPr>
              <w:pStyle w:val="Normal"/>
              <w:widowControl w:val="false"/>
              <w:jc w:val="both"/>
              <w:rPr>
                <w:i/>
                <w:i/>
                <w:iCs/>
                <w:sz w:val="22"/>
                <w:szCs w:val="22"/>
                <w:highlight w:val="red"/>
              </w:rPr>
            </w:pPr>
            <w:r>
              <w:rPr>
                <w:i/>
                <w:iCs/>
                <w:sz w:val="22"/>
                <w:szCs w:val="22"/>
                <w:highlight w:val="red"/>
              </w:rPr>
            </w:r>
          </w:p>
          <w:p>
            <w:pPr>
              <w:pStyle w:val="Style40"/>
              <w:widowControl w:val="false"/>
              <w:shd w:val="clear" w:color="FFFFFF" w:themeColor="background1" w:fill="FFFFFF" w:themeFill="background1"/>
              <w:spacing w:lineRule="atLeast" w:line="283" w:before="0" w:after="120"/>
              <w:ind w:left="0" w:hanging="0"/>
              <w:rPr>
                <w:i/>
                <w:i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 w:val="false"/>
                <w:i/>
                <w:iCs/>
                <w:sz w:val="22"/>
                <w:szCs w:val="22"/>
              </w:rPr>
              <w:t>В случае определения победителем Конкурса  Поставщика, предложившего оборудование, отличного от указанного в названных выше проектных решениях, в состав Договора поставки в обязательном порядке включаются требования, учитывающие:</w:t>
            </w:r>
          </w:p>
          <w:p>
            <w:pPr>
              <w:pStyle w:val="Style40"/>
              <w:widowControl w:val="false"/>
              <w:shd w:val="clear" w:color="FFFFFF" w:themeColor="background1" w:fill="FFFFFF" w:themeFill="background1"/>
              <w:spacing w:lineRule="atLeast" w:line="283" w:before="0" w:after="120"/>
              <w:ind w:left="0" w:hanging="0"/>
              <w:rPr>
                <w:rFonts w:ascii="Times New Roman" w:hAnsi="Times New Roman"/>
                <w:i/>
                <w:i/>
                <w:i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- соответствие характеристик предложенного оборудования заявленным в технических требованиях на поставку водогрейных котлов;</w:t>
            </w:r>
          </w:p>
          <w:p>
            <w:pPr>
              <w:pStyle w:val="Style40"/>
              <w:widowControl w:val="false"/>
              <w:shd w:val="clear" w:color="FFFFFF" w:themeColor="background1" w:fill="FFFFFF" w:themeFill="background1"/>
              <w:spacing w:lineRule="atLeast" w:line="283" w:before="0" w:after="120"/>
              <w:ind w:left="0" w:hanging="0"/>
              <w:rPr>
                <w:rFonts w:ascii="Times New Roman" w:hAnsi="Times New Roman"/>
                <w:i/>
                <w:i/>
                <w:i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- проведение за счет Поставщика работ в необходимом объеме по корректировке соответствующих разделов проектной и рабочей документации в части применения предлагаемого оборудования;</w:t>
            </w:r>
          </w:p>
          <w:p>
            <w:pPr>
              <w:pStyle w:val="Style40"/>
              <w:widowControl w:val="false"/>
              <w:shd w:val="clear" w:color="FFFFFF" w:themeColor="background1" w:fill="FFFFFF" w:themeFill="background1"/>
              <w:spacing w:lineRule="atLeast" w:line="283" w:before="0" w:after="120"/>
              <w:ind w:left="0" w:hanging="0"/>
              <w:rPr>
                <w:rFonts w:ascii="Times New Roman" w:hAnsi="Times New Roman"/>
                <w:i/>
                <w:i/>
                <w:i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- проведения за счет Поставщика и получения положительного заключения Государственной экспертизы откорректированной проектной  документации (при необходимости) в срок, определенный законодательством для данной процедуры;</w:t>
            </w:r>
          </w:p>
          <w:p>
            <w:pPr>
              <w:pStyle w:val="Style40"/>
              <w:widowControl w:val="false"/>
              <w:shd w:val="clear" w:color="FFFFFF" w:themeColor="background1" w:fill="FFFFFF" w:themeFill="background1"/>
              <w:spacing w:lineRule="atLeast" w:line="283" w:before="0" w:after="120"/>
              <w:ind w:left="0" w:hanging="0"/>
              <w:rPr>
                <w:rFonts w:ascii="Times New Roman" w:hAnsi="Times New Roman"/>
                <w:i/>
                <w:i/>
                <w:iCs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- авансовые платежи производится в соответствии с п.2.4.2 Договора поставки с оговоркой - «При условии предоставления Покупателю утвержденной откорректированной в части замены основного оборудования (водогрейных котлов) получившей положительное заключение Государственной экспертизы проектной и рабочей документации (при необходимости) в срок, определенный законодательством для данной процедуры.</w:t>
            </w:r>
          </w:p>
        </w:tc>
        <w:tc>
          <w:tcPr>
            <w:tcW w:w="1432" w:type="dxa"/>
            <w:tcBorders>
              <w:left w:val="single" w:sz="4" w:space="0" w:color="000000"/>
              <w:bottom w:val="single" w:sz="4" w:space="0" w:color="000000"/>
            </w:tcBorders>
            <w:shd w:color="FFFFFF" w:fill="FFFFFF" w:val="solid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shd w:fill="auto" w:val="clear"/>
              </w:rPr>
              <w:t>Согласие с требованиями</w:t>
            </w:r>
          </w:p>
        </w:tc>
        <w:tc>
          <w:tcPr>
            <w:tcW w:w="282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zCs w:val="24"/>
                <w:lang w:val="en-US"/>
              </w:rPr>
              <w:t>-//-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15025" w:type="dxa"/>
            <w:gridSpan w:val="6"/>
            <w:tcBorders>
              <w:right w:val="single" w:sz="6" w:space="0" w:color="000000"/>
            </w:tcBorders>
            <w:tcMar>
              <w:top w:w="0" w:type="dxa"/>
              <w:bottom w:w="0" w:type="dxa"/>
            </w:tcMar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i/>
                <w:i/>
                <w:iCs/>
                <w:sz w:val="24"/>
                <w:szCs w:val="24"/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 </w:t>
            </w:r>
            <w:r>
              <w:rPr>
                <w:b/>
                <w:bCs/>
                <w:i w:val="false"/>
                <w:iCs w:val="false"/>
                <w:sz w:val="24"/>
                <w:szCs w:val="24"/>
                <w:shd w:fill="auto" w:val="clear"/>
              </w:rPr>
              <w:t>Примечание:</w:t>
            </w:r>
            <w:r>
              <w:rPr>
                <w:i/>
                <w:iCs/>
                <w:sz w:val="24"/>
                <w:szCs w:val="24"/>
                <w:shd w:fill="auto" w:val="clear"/>
              </w:rPr>
              <w:t xml:space="preserve"> в случае, если какой-либо из указанных в настоящих ТТ ГОСТ или нормативный документ в процессе проведения закупки был отменен в связи с выпуском новой редакции стандарта, то Участнику необходимо применять ГОСТ или нормативный документ , принятый в его развитие.</w:t>
            </w:r>
          </w:p>
          <w:p>
            <w:pPr>
              <w:pStyle w:val="Normal"/>
              <w:widowControl w:val="false"/>
              <w:spacing w:before="60" w:after="6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footnotePr>
            <w:numFmt w:val="decimal"/>
          </w:footnotePr>
          <w:type w:val="nextPage"/>
          <w:pgSz w:orient="landscape" w:w="16838" w:h="11906"/>
          <w:pgMar w:left="992" w:right="567" w:gutter="0" w:header="680" w:top="851" w:footer="737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35" w:name="_Toc149121380"/>
      <w:bookmarkStart w:id="36" w:name="_Toc53393312"/>
      <w:r>
        <w:rPr>
          <w:lang w:val="ru-RU"/>
        </w:rPr>
        <w:t>Требования к документации по ценообразованию</w:t>
      </w:r>
      <w:bookmarkEnd w:id="36"/>
      <w:r>
        <w:rPr>
          <w:lang w:val="ru-RU"/>
        </w:rPr>
        <w:t xml:space="preserve"> на этапе закупки</w:t>
      </w:r>
      <w:bookmarkEnd w:id="35"/>
    </w:p>
    <w:p>
      <w:pPr>
        <w:pStyle w:val="Normal"/>
        <w:ind w:left="0" w:right="0" w:firstLine="567"/>
        <w:jc w:val="both"/>
        <w:rPr/>
      </w:pPr>
      <w:r>
        <w:rPr/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ind w:left="0" w:right="0" w:firstLine="567"/>
        <w:jc w:val="both"/>
        <w:rPr>
          <w:highlight w:val="none"/>
        </w:rPr>
      </w:pPr>
      <w:r>
        <w:rPr/>
        <w:t xml:space="preserve">3.2. Вместе с Коммерческим предложением Участник должен предоставить в составе заявки спецификацию поставляемого оборудования по форме, приведенной в </w:t>
      </w:r>
      <w:r>
        <w:rPr>
          <w:shd w:fill="auto" w:val="clear"/>
        </w:rPr>
        <w:t xml:space="preserve">Приложении № 2 </w:t>
      </w:r>
      <w:r>
        <w:rPr/>
        <w:t>к Проекту договора (в случае закупки оборудования (материалов) комплектом в спецификации необходимо разбить его на позиции с указанием полного наименования (тип, марка, артикул) каждой составляющей и стоимости за единицу).</w:t>
      </w:r>
    </w:p>
    <w:p>
      <w:pPr>
        <w:pStyle w:val="Normal"/>
        <w:ind w:left="0" w:right="0" w:firstLine="567"/>
        <w:jc w:val="both"/>
        <w:rPr>
          <w:highlight w:val="none"/>
        </w:rPr>
      </w:pPr>
      <w:r>
        <w:rPr/>
      </w:r>
    </w:p>
    <w:p>
      <w:pPr>
        <w:pStyle w:val="Normal"/>
        <w:ind w:left="0" w:right="0" w:firstLine="567"/>
        <w:jc w:val="both"/>
        <w:rPr>
          <w:highlight w:val="none"/>
        </w:rPr>
      </w:pPr>
      <w:r>
        <w:rPr/>
      </w:r>
    </w:p>
    <w:p>
      <w:pPr>
        <w:pStyle w:val="Heading1"/>
        <w:keepLines/>
        <w:numPr>
          <w:ilvl w:val="0"/>
          <w:numId w:val="0"/>
        </w:numPr>
        <w:ind w:left="0" w:right="0" w:hanging="0"/>
        <w:jc w:val="center"/>
        <w:rPr>
          <w:i w:val="false"/>
          <w:i w:val="false"/>
          <w:iCs w:val="false"/>
          <w:sz w:val="28"/>
          <w:szCs w:val="28"/>
          <w:highlight w:val="none"/>
        </w:rPr>
      </w:pPr>
      <w:r>
        <w:rPr>
          <w:b/>
          <w:bCs/>
          <w:i w:val="false"/>
          <w:iCs w:val="false"/>
          <w:sz w:val="28"/>
          <w:szCs w:val="28"/>
        </w:rPr>
        <w:t xml:space="preserve">4. </w:t>
      </w:r>
      <w:r>
        <w:rPr>
          <w:rFonts w:eastAsia="Times New Roman" w:cs="Times New Roman"/>
          <w:i w:val="false"/>
          <w:iCs w:val="false"/>
          <w:sz w:val="28"/>
          <w:szCs w:val="28"/>
        </w:rPr>
        <w:t>Требования к победителю (по оценочному критерию «Отношение Участника закупки к изготовителю предлагаемой продукции»)</w:t>
      </w:r>
    </w:p>
    <w:p>
      <w:pPr>
        <w:pStyle w:val="Heading1"/>
        <w:keepLines/>
        <w:numPr>
          <w:ilvl w:val="0"/>
          <w:numId w:val="0"/>
        </w:numPr>
        <w:ind w:left="0" w:right="0" w:hanging="0"/>
        <w:jc w:val="center"/>
        <w:rPr>
          <w:bCs w:val="false"/>
          <w:i w:val="false"/>
          <w:i w:val="false"/>
          <w:sz w:val="28"/>
          <w:szCs w:val="28"/>
        </w:rPr>
      </w:pPr>
      <w:r>
        <w:rPr>
          <w:bCs w:val="false"/>
          <w:i w:val="false"/>
          <w:sz w:val="28"/>
          <w:szCs w:val="28"/>
        </w:rPr>
      </w:r>
    </w:p>
    <w:tbl>
      <w:tblPr>
        <w:tblStyle w:val="1046"/>
        <w:tblW w:w="99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9"/>
        <w:gridCol w:w="5905"/>
        <w:gridCol w:w="1585"/>
        <w:gridCol w:w="1763"/>
      </w:tblGrid>
      <w:tr>
        <w:trPr/>
        <w:tc>
          <w:tcPr>
            <w:tcW w:w="709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</w:rPr>
              <w:t xml:space="preserve">№ </w:t>
            </w:r>
            <w:r>
              <w:rPr>
                <w:i w:val="false"/>
                <w:iCs w:val="false"/>
                <w:kern w:val="0"/>
                <w:sz w:val="24"/>
                <w:szCs w:val="24"/>
              </w:rPr>
              <w:t>п/п</w:t>
            </w:r>
          </w:p>
        </w:tc>
        <w:tc>
          <w:tcPr>
            <w:tcW w:w="5905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</w:rPr>
              <w:t>Требования заказчика</w:t>
            </w:r>
          </w:p>
        </w:tc>
        <w:tc>
          <w:tcPr>
            <w:tcW w:w="1585" w:type="dxa"/>
            <w:tcBorders>
              <w:right w:val="nil"/>
            </w:tcBorders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</w:t>
            </w:r>
          </w:p>
        </w:tc>
        <w:tc>
          <w:tcPr>
            <w:tcW w:w="1763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Cs w:val="false"/>
                <w:i w:val="false"/>
                <w:kern w:val="0"/>
                <w:sz w:val="24"/>
                <w:szCs w:val="24"/>
              </w:rPr>
              <w:t>Предложение Участника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</w:rPr>
              <w:t>1</w:t>
            </w:r>
          </w:p>
        </w:tc>
        <w:tc>
          <w:tcPr>
            <w:tcW w:w="5905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right="0" w:hanging="0"/>
              <w:jc w:val="both"/>
              <w:rPr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</w:rPr>
              <w:t>Информация, представленная в составе заявки Участника, признанного победителем закупочной процедуры, в течение 5 (пяти) рабочих дней после размещения протокола подведения итогов закупки на сайте www.zakupki.gov.ru (до заключения договора), будет проверена на предмет достоверности сведений, указанных в документах, подтверждающих признак аффилированности к изготовителю продукции, и в приложении No_ к ДоЗ - Форма КП и Структура НМЦ.</w:t>
            </w:r>
          </w:p>
        </w:tc>
        <w:tc>
          <w:tcPr>
            <w:tcW w:w="1585" w:type="dxa"/>
            <w:tcBorders>
              <w:right w:val="nil"/>
            </w:tcBorders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63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Cs w:val="false"/>
                <w:i w:val="false"/>
                <w:sz w:val="24"/>
                <w:szCs w:val="24"/>
              </w:rPr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</w:rPr>
              <w:t>2</w:t>
            </w:r>
          </w:p>
        </w:tc>
        <w:tc>
          <w:tcPr>
            <w:tcW w:w="5905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both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</w:rPr>
              <w:t xml:space="preserve">В случае выявления недостоверных сведений, Победитель признается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 </w:t>
            </w:r>
          </w:p>
        </w:tc>
        <w:tc>
          <w:tcPr>
            <w:tcW w:w="1585" w:type="dxa"/>
            <w:tcBorders>
              <w:right w:val="nil"/>
            </w:tcBorders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 w:val="false"/>
                <w:bCs w:val="false"/>
                <w:i w:val="false"/>
                <w:iCs w:val="false"/>
                <w:kern w:val="0"/>
                <w:sz w:val="24"/>
                <w:szCs w:val="24"/>
              </w:rPr>
              <w:t>Согласие с требованием</w:t>
            </w:r>
          </w:p>
        </w:tc>
        <w:tc>
          <w:tcPr>
            <w:tcW w:w="1763" w:type="dxa"/>
            <w:tcBorders/>
          </w:tcPr>
          <w:p>
            <w:pPr>
              <w:pStyle w:val="Heading1"/>
              <w:keepLines/>
              <w:widowControl w:val="false"/>
              <w:numPr>
                <w:ilvl w:val="0"/>
                <w:numId w:val="0"/>
              </w:numPr>
              <w:spacing w:lineRule="auto" w:line="240" w:before="120" w:after="60"/>
              <w:ind w:left="0" w:hanging="0"/>
              <w:jc w:val="center"/>
              <w:rPr>
                <w:bCs w:val="false"/>
                <w:i w:val="false"/>
                <w:i w:val="false"/>
                <w:sz w:val="24"/>
                <w:szCs w:val="24"/>
                <w:highlight w:val="none"/>
              </w:rPr>
            </w:pPr>
            <w:r>
              <w:rPr>
                <w:bCs w:val="false"/>
                <w:i w:val="false"/>
                <w:sz w:val="24"/>
                <w:szCs w:val="24"/>
              </w:rPr>
            </w:r>
          </w:p>
        </w:tc>
      </w:tr>
    </w:tbl>
    <w:p>
      <w:pPr>
        <w:pStyle w:val="Normal"/>
        <w:ind w:left="0" w:right="0" w:firstLine="567"/>
        <w:jc w:val="both"/>
        <w:rPr>
          <w:i w:val="false"/>
          <w:i w:val="false"/>
          <w:iCs w:val="false"/>
          <w:sz w:val="28"/>
          <w:szCs w:val="28"/>
          <w:highlight w:val="none"/>
        </w:rPr>
      </w:pPr>
      <w:r>
        <w:rPr>
          <w:i w:val="false"/>
          <w:iCs w:val="false"/>
          <w:sz w:val="28"/>
          <w:szCs w:val="28"/>
        </w:rPr>
      </w:r>
    </w:p>
    <w:p>
      <w:pPr>
        <w:pStyle w:val="Normal"/>
        <w:widowControl w:val="false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Heading1"/>
        <w:keepLines/>
        <w:numPr>
          <w:ilvl w:val="0"/>
          <w:numId w:val="0"/>
        </w:numPr>
        <w:ind w:left="0" w:hanging="0"/>
        <w:jc w:val="center"/>
        <w:rPr>
          <w:iCs/>
          <w:caps/>
        </w:rPr>
      </w:pPr>
      <w:r>
        <w:rPr>
          <w:iCs/>
        </w:rPr>
        <w:t xml:space="preserve">5. </w:t>
      </w:r>
      <w:bookmarkStart w:id="37" w:name="_Toc149121382"/>
      <w:bookmarkStart w:id="38" w:name="_Toc46743519"/>
      <w:bookmarkStart w:id="39" w:name="_Toc51339699"/>
      <w:r>
        <w:rPr>
          <w:iCs/>
        </w:rPr>
        <w:t>Приложения</w:t>
      </w:r>
      <w:bookmarkEnd w:id="37"/>
      <w:bookmarkEnd w:id="38"/>
      <w:bookmarkEnd w:id="39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b w:val="false"/>
          <w:bCs/>
          <w:i w:val="false"/>
          <w:i w:val="false"/>
          <w:iCs w:val="false"/>
          <w:sz w:val="24"/>
          <w:szCs w:val="24"/>
        </w:rPr>
      </w:pPr>
      <w:r>
        <w:rPr>
          <w:b w:val="false"/>
          <w:bCs/>
          <w:i w:val="false"/>
          <w:iCs w:val="false"/>
          <w:sz w:val="24"/>
          <w:szCs w:val="24"/>
        </w:rPr>
      </w:r>
    </w:p>
    <w:p>
      <w:pPr>
        <w:pStyle w:val="Normal"/>
        <w:keepNext w:val="true"/>
        <w:keepLines/>
        <w:spacing w:before="0" w:after="120"/>
        <w:rPr>
          <w:i w:val="false"/>
          <w:i w:val="false"/>
          <w:iCs w:val="false"/>
        </w:rPr>
      </w:pPr>
      <w:r>
        <w:rPr>
          <w:rFonts w:eastAsia="Calibri"/>
          <w:b/>
          <w:bCs/>
          <w:i w:val="false"/>
          <w:iCs w:val="false"/>
          <w:sz w:val="24"/>
          <w:szCs w:val="24"/>
        </w:rPr>
        <w:t>Приложение №1. Техническое задание.</w:t>
      </w:r>
    </w:p>
    <w:p>
      <w:pPr>
        <w:pStyle w:val="Normal"/>
        <w:spacing w:before="0" w:after="120"/>
        <w:rPr>
          <w:highlight w:val="none"/>
          <w:shd w:fill="auto" w:val="clear"/>
        </w:rPr>
      </w:pPr>
      <w:r>
        <w:rPr>
          <w:rFonts w:eastAsia="Calibri"/>
          <w:b/>
          <w:bCs/>
          <w:i w:val="false"/>
          <w:iCs w:val="false"/>
          <w:sz w:val="24"/>
          <w:szCs w:val="24"/>
          <w:shd w:fill="auto" w:val="clear"/>
        </w:rPr>
        <w:t>Приложение №2. График поставки.</w:t>
      </w:r>
    </w:p>
    <w:p>
      <w:pPr>
        <w:pStyle w:val="Normal"/>
        <w:spacing w:before="0" w:after="120"/>
        <w:rPr>
          <w:highlight w:val="none"/>
          <w:shd w:fill="auto" w:val="clear"/>
        </w:rPr>
      </w:pPr>
      <w:r>
        <w:rPr/>
      </w:r>
    </w:p>
    <w:p>
      <w:pPr>
        <w:pStyle w:val="Normal"/>
        <w:keepNext w:val="true"/>
        <w:keepLines/>
        <w:spacing w:before="0" w:after="120"/>
        <w:rPr>
          <w:rFonts w:eastAsia="Calibri"/>
          <w:b/>
          <w:bCs/>
          <w:i/>
          <w:i/>
          <w:iCs/>
          <w:sz w:val="24"/>
          <w:szCs w:val="24"/>
        </w:rPr>
      </w:pPr>
      <w:r>
        <w:rPr/>
      </w:r>
    </w:p>
    <w:sectPr>
      <w:headerReference w:type="default" r:id="rId12"/>
      <w:headerReference w:type="first" r:id="rId13"/>
      <w:footerReference w:type="default" r:id="rId14"/>
      <w:footerReference w:type="first" r:id="rId15"/>
      <w:footnotePr>
        <w:numFmt w:val="decimal"/>
      </w:footnotePr>
      <w:type w:val="nextPage"/>
      <w:pgSz w:w="11906" w:h="16838"/>
      <w:pgMar w:left="1134" w:right="851" w:gutter="0" w:header="680" w:top="1134" w:footer="397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5244" w:leader="none"/>
      </w:tabs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5244" w:leader="none"/>
      </w:tabs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677"/>
        <w:tab w:val="clear" w:pos="9355"/>
        <w:tab w:val="left" w:pos="5244" w:leader="none"/>
      </w:tabs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rPr/>
      </w:pPr>
      <w:r>
        <w:rPr>
          <w:rStyle w:val="Style"/>
        </w:rPr>
        <w:footnoteRef/>
      </w: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36360" rIns="36360" tIns="-20880" bIns="-2088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312"/>
        </w:tabs>
        <w:ind w:left="0" w:hanging="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qFormat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outlineLvl w:val="1"/>
    </w:pPr>
    <w:rPr/>
  </w:style>
  <w:style w:type="paragraph" w:styleId="Heading3">
    <w:name w:val="Heading 3"/>
    <w:basedOn w:val="Normal"/>
    <w:qFormat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qFormat/>
    <w:rPr>
      <w:sz w:val="26"/>
      <w:szCs w:val="26"/>
    </w:rPr>
  </w:style>
  <w:style w:type="character" w:styleId="31" w:customStyle="1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qFormat/>
    <w:rPr>
      <w:b/>
      <w:sz w:val="28"/>
    </w:rPr>
  </w:style>
  <w:style w:type="character" w:styleId="12" w:customStyle="1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qFormat/>
    <w:rPr>
      <w:sz w:val="16"/>
      <w:szCs w:val="16"/>
    </w:rPr>
  </w:style>
  <w:style w:type="character" w:styleId="Style14" w:customStyle="1">
    <w:name w:val="Основной текст + Полужирный"/>
    <w:basedOn w:val="DefaultParagraphFont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3"/>
      <w:sz w:val="21"/>
      <w:szCs w:val="21"/>
    </w:rPr>
  </w:style>
  <w:style w:type="character" w:styleId="Style15" w:customStyle="1">
    <w:name w:val="Основной текст_"/>
    <w:basedOn w:val="DefaultParagraphFont"/>
    <w:qFormat/>
    <w:rPr>
      <w:spacing w:val="2"/>
      <w:sz w:val="21"/>
      <w:szCs w:val="21"/>
      <w:shd w:fill="FFFFFF" w:val="clear"/>
    </w:rPr>
  </w:style>
  <w:style w:type="character" w:styleId="75pt" w:customStyle="1">
    <w:name w:val="Основной текст + 7;5 pt"/>
    <w:basedOn w:val="Style15"/>
    <w:qFormat/>
    <w:rPr>
      <w:spacing w:val="6"/>
      <w:sz w:val="14"/>
      <w:szCs w:val="14"/>
      <w:shd w:fill="FFFFFF" w:val="clear"/>
    </w:rPr>
  </w:style>
  <w:style w:type="character" w:styleId="23" w:customStyle="1">
    <w:name w:val="Основной текст2"/>
    <w:basedOn w:val="Style15"/>
    <w:qFormat/>
    <w:rPr>
      <w:rFonts w:ascii="Times New Roman" w:hAnsi="Times New Roman" w:eastAsia="Times New Roman" w:cs="Times New Roman"/>
      <w:spacing w:val="2"/>
      <w:sz w:val="21"/>
      <w:szCs w:val="21"/>
      <w:shd w:fill="FFFFFF" w:val="clear"/>
    </w:rPr>
  </w:style>
  <w:style w:type="character" w:styleId="Linenumber">
    <w:name w:val="line number"/>
    <w:basedOn w:val="DefaultParagraphFont"/>
    <w:semiHidden/>
    <w:unhideWhenUsed/>
    <w:qFormat/>
    <w:rPr/>
  </w:style>
  <w:style w:type="character" w:styleId="Style16" w:customStyle="1">
    <w:name w:val="Нижний колонтитул Знак"/>
    <w:basedOn w:val="DefaultParagraphFont"/>
    <w:uiPriority w:val="99"/>
    <w:qFormat/>
    <w:rPr>
      <w:sz w:val="28"/>
      <w:szCs w:val="28"/>
    </w:rPr>
  </w:style>
  <w:style w:type="character" w:styleId="Style17">
    <w:name w:val="Ссылка указателя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20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21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pPr>
      <w:jc w:val="center"/>
    </w:pPr>
    <w:rPr>
      <w:szCs w:val="20"/>
    </w:rPr>
  </w:style>
  <w:style w:type="paragraph" w:styleId="Style23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4" w:customStyle="1">
    <w:name w:val="Подпункт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5" w:customStyle="1">
    <w:name w:val="Раздел регламента"/>
    <w:basedOn w:val="Normal"/>
    <w:qFormat/>
    <w:pPr/>
    <w:rPr/>
  </w:style>
  <w:style w:type="paragraph" w:styleId="Style26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uiPriority w:val="99"/>
    <w:unhideWhenUsed/>
    <w:qFormat/>
    <w:pPr/>
    <w:rPr>
      <w:rFonts w:eastAsia="Calibri"/>
      <w:sz w:val="24"/>
      <w:szCs w:val="24"/>
    </w:rPr>
  </w:style>
  <w:style w:type="paragraph" w:styleId="Style2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Noto Serif CJK SC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31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5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37" w:customStyle="1">
    <w:name w:val="Основной текст3"/>
    <w:basedOn w:val="Normal"/>
    <w:qFormat/>
    <w:pPr>
      <w:shd w:val="clear" w:color="auto" w:fill="FFFFFF"/>
      <w:spacing w:lineRule="exact" w:line="278" w:before="1980" w:after="1680"/>
      <w:ind w:hanging="180"/>
      <w:jc w:val="both"/>
    </w:pPr>
    <w:rPr>
      <w:spacing w:val="2"/>
      <w:sz w:val="21"/>
      <w:szCs w:val="21"/>
    </w:rPr>
  </w:style>
  <w:style w:type="paragraph" w:styleId="Style151" w:customStyle="1">
    <w:name w:val="Style15"/>
    <w:basedOn w:val="Normal"/>
    <w:uiPriority w:val="99"/>
    <w:qFormat/>
    <w:pPr>
      <w:widowControl w:val="false"/>
      <w:spacing w:lineRule="exact" w:line="242"/>
      <w:jc w:val="center"/>
    </w:pPr>
    <w:rPr>
      <w:sz w:val="24"/>
      <w:szCs w:val="24"/>
    </w:rPr>
  </w:style>
  <w:style w:type="paragraph" w:styleId="Style36" w:customStyle="1">
    <w:name w:val="[РГ] Текст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240" w:beforeAutospacing="0" w:before="120" w:afterAutospacing="0" w:after="0"/>
      <w:ind w:left="0" w:right="0" w:hanging="0"/>
      <w:jc w:val="both"/>
    </w:pPr>
    <w:rPr>
      <w:rFonts w:ascii="Times New Roman" w:hAnsi="Times New Roman" w:eastAsia="Calibri" w:cs="Arial" w:cstheme="minorBidi" w:eastAsiaTheme="minorHAns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6"/>
      <w:sz w:val="26"/>
      <w:szCs w:val="22"/>
      <w:u w:val="none"/>
      <w:vertAlign w:val="baseline"/>
      <w:lang w:val="ru-RU" w:eastAsia="en-US" w:bidi="ar-SA"/>
      <w14:ligatures w14:val="none"/>
    </w:rPr>
  </w:style>
  <w:style w:type="paragraph" w:styleId="Main14" w:customStyle="1">
    <w:name w:val="Main 14"/>
    <w:uiPriority w:val="99"/>
    <w:qFormat/>
    <w:pPr>
      <w:keepNext w:val="false"/>
      <w:keepLines w:val="false"/>
      <w:pageBreakBefore w:val="false"/>
      <w:widowControl/>
      <w:shd w:val="nil"/>
      <w:suppressAutoHyphens w:val="true"/>
      <w:bidi w:val="0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paragraph" w:styleId="Style37">
    <w:name w:val="Содержимое врезки"/>
    <w:basedOn w:val="Normal"/>
    <w:qFormat/>
    <w:pPr/>
    <w:rPr/>
  </w:style>
  <w:style w:type="paragraph" w:styleId="Style38">
    <w:name w:val="Содержимое таблицы"/>
    <w:basedOn w:val="Normal"/>
    <w:qFormat/>
    <w:pPr>
      <w:widowControl w:val="false"/>
      <w:suppressLineNumbers/>
    </w:pPr>
    <w:rPr/>
  </w:style>
  <w:style w:type="paragraph" w:styleId="Style39">
    <w:name w:val="Заголовок таблицы"/>
    <w:basedOn w:val="Style38"/>
    <w:qFormat/>
    <w:pPr>
      <w:suppressLineNumbers/>
      <w:jc w:val="center"/>
    </w:pPr>
    <w:rPr>
      <w:b/>
      <w:bCs/>
    </w:rPr>
  </w:style>
  <w:style w:type="paragraph" w:styleId="Style40">
    <w:name w:val="Текст Записки"/>
    <w:basedOn w:val="Normal"/>
    <w:qFormat/>
    <w:pPr>
      <w:spacing w:before="120" w:after="0"/>
      <w:jc w:val="both"/>
    </w:pPr>
    <w:rPr>
      <w:rFonts w:ascii="Arial" w:hAnsi="Arial"/>
      <w:bCs/>
    </w:rPr>
  </w:style>
  <w:style w:type="paragraph" w:styleId="NormalIndent">
    <w:name w:val="Normal Indent"/>
    <w:basedOn w:val="Normal"/>
    <w:qFormat/>
    <w:pPr>
      <w:spacing w:before="60" w:after="60"/>
      <w:ind w:firstLine="709"/>
      <w:jc w:val="both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210" w:customStyle="1">
    <w:name w:val="Стиль2"/>
    <w:uiPriority w:val="99"/>
    <w:qFormat/>
  </w:style>
  <w:style w:type="table" w:styleId="1046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7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48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1049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1050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1051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2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53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5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060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1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2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3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4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5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6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7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8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69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70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71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72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73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1074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1075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1076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1077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1078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1079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1080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1081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108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108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108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108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108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108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1088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108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109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109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109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109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9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95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9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9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9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09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10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10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1102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8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9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10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11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12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13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14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15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16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17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18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19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0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1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2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3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4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5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6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7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8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29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130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137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13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13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14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14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14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14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144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14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54374" w:themeColor="accent1" w:themeShade="95"/>
        <w:sz w:val="22"/>
      </w:rPr>
      <w:tblPr/>
    </w:tblStylePr>
  </w:style>
  <w:style w:type="table" w:styleId="114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114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14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114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E78B1" w:themeColor="accent5" w:themeTint="9a" w:themeShade="95"/>
        <w:sz w:val="22"/>
      </w:rPr>
      <w:tblPr/>
    </w:tblStylePr>
  </w:style>
  <w:style w:type="table" w:styleId="115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115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15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15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15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15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15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15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15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15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116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116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116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116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116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1165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166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167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168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169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170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171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1172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yperlink" Target="https://login.consultant.ru/link/?req=doc&amp;base=LAW&amp;n=494318&amp;dst=100007" TargetMode="External"/><Relationship Id="rId8" Type="http://schemas.openxmlformats.org/officeDocument/2006/relationships/header" Target="header4.xml"/><Relationship Id="rId9" Type="http://schemas.openxmlformats.org/officeDocument/2006/relationships/header" Target="header5.xml"/><Relationship Id="rId10" Type="http://schemas.openxmlformats.org/officeDocument/2006/relationships/footer" Target="footer3.xml"/><Relationship Id="rId11" Type="http://schemas.openxmlformats.org/officeDocument/2006/relationships/footer" Target="footer4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footer" Target="footer5.xml"/><Relationship Id="rId15" Type="http://schemas.openxmlformats.org/officeDocument/2006/relationships/footer" Target="footer6.xml"/><Relationship Id="rId16" Type="http://schemas.openxmlformats.org/officeDocument/2006/relationships/footnotes" Target="footnotes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26A5-42F1-44F0-B588-14426C70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Application>AlterOffice/2025.3.1.0$Linux_X86_64 LibreOffice_project/431cd1b79110582f53535c95ed0a2449aadc8bf9</Application>
  <AppVersion>15.0000</AppVersion>
  <Pages>12</Pages>
  <Words>1934</Words>
  <Characters>13382</Characters>
  <CharactersWithSpaces>15120</CharactersWithSpaces>
  <Paragraphs>254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2024-02-02T03:23:00Z</dcterms:created>
  <dc:creator/>
  <dc:description/>
  <dc:language>ru-RU</dc:language>
  <cp:lastModifiedBy>banschikova_iv@DGK.RU</cp:lastModifiedBy>
  <dcterms:modified xsi:type="dcterms:W3CDTF">2026-08-26T08:40:31Z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